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0100C" w14:textId="77777777" w:rsidR="004655AF" w:rsidRPr="004655AF" w:rsidRDefault="004655AF" w:rsidP="004655AF">
      <w:pPr>
        <w:spacing w:after="360" w:line="240" w:lineRule="auto"/>
        <w:outlineLvl w:val="0"/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kern w:val="36"/>
          <w:sz w:val="60"/>
          <w:szCs w:val="60"/>
          <w:lang w:eastAsia="ru-RU"/>
        </w:rPr>
        <w:t>ФКП открыла предварительную запись для подачи документов по экстерриториальному принципу</w:t>
      </w:r>
    </w:p>
    <w:p w14:paraId="68D44844" w14:textId="77777777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Доступна предварительная запись для подачи документов в Федеральную кадастровую палату по экстерриториальному принципу.</w:t>
      </w:r>
    </w:p>
    <w:p w14:paraId="32E5437B" w14:textId="77777777" w:rsidR="004655AF" w:rsidRPr="004655AF" w:rsidRDefault="004655AF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14:paraId="205A89F2" w14:textId="77777777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В связи с ограничением приема документов в Многофункциональных центрах (МФЦ) Федеральная кадастровая палата сообщает, что для удобства граждан в ведомстве открыта специальная линия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14:paraId="4C6ACE99" w14:textId="77777777" w:rsidR="004655AF" w:rsidRPr="004655AF" w:rsidRDefault="004655AF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14:paraId="38849A93" w14:textId="77777777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Предварительная запись в офисы ФКП доступна в личном кабинете на </w:t>
      </w:r>
      <w:hyperlink r:id="rId4" w:anchor="/offices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сайте Росреестра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. Чтобы записаться на прием, вам достаточно авторизоваться, используя учетную запись единого портала государственных услуг РФ, и выбрать подходящий вам по всем параметрам офис Кадастровой палаты.</w:t>
      </w:r>
    </w:p>
    <w:p w14:paraId="522ACED2" w14:textId="0AB71375" w:rsidR="004655AF" w:rsidRDefault="004655AF" w:rsidP="004655AF">
      <w:pPr>
        <w:spacing w:after="0" w:line="240" w:lineRule="auto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  <w:r w:rsidR="001E0E78">
        <w:rPr>
          <w:rFonts w:ascii="Open Sans" w:hAnsi="Open Sans"/>
          <w:color w:val="000000"/>
          <w:sz w:val="28"/>
          <w:szCs w:val="28"/>
          <w:shd w:val="clear" w:color="auto" w:fill="FFFFFF"/>
        </w:rPr>
        <w:t>Также записаться на п</w:t>
      </w:r>
      <w:r w:rsidR="001E0E78" w:rsidRPr="000C094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рием документов по экстерриториальному принципу </w:t>
      </w:r>
      <w:r w:rsidR="001E0E7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 в </w:t>
      </w:r>
      <w:proofErr w:type="gramStart"/>
      <w:r w:rsidR="001E0E7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офисах </w:t>
      </w:r>
      <w:r w:rsidR="001E0E78" w:rsidRPr="000C094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Кадастровой</w:t>
      </w:r>
      <w:proofErr w:type="gramEnd"/>
      <w:r w:rsidR="001E0E78" w:rsidRPr="000C094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палаты</w:t>
      </w:r>
      <w:r w:rsidR="001E0E78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по Кемеровской области-Кузбассу в г. Кемерово и г. Новокузнецк</w:t>
      </w:r>
      <w:r w:rsidR="001E0E78" w:rsidRPr="000C094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1E0E78">
        <w:rPr>
          <w:rFonts w:ascii="Open Sans" w:hAnsi="Open Sans"/>
          <w:color w:val="000000"/>
          <w:sz w:val="28"/>
          <w:szCs w:val="28"/>
          <w:shd w:val="clear" w:color="auto" w:fill="FFFFFF"/>
        </w:rPr>
        <w:t>можно  по телефону</w:t>
      </w:r>
      <w:r w:rsidR="001E0E78" w:rsidRPr="000C0943">
        <w:rPr>
          <w:rFonts w:ascii="Open Sans" w:hAnsi="Open Sans"/>
          <w:color w:val="000000"/>
          <w:sz w:val="28"/>
          <w:szCs w:val="28"/>
          <w:shd w:val="clear" w:color="auto" w:fill="FFFFFF"/>
        </w:rPr>
        <w:t>(384-2) 56-70-8</w:t>
      </w:r>
      <w:r w:rsidR="001E0E78">
        <w:rPr>
          <w:rFonts w:ascii="Open Sans" w:hAnsi="Open Sans"/>
          <w:color w:val="000000"/>
          <w:sz w:val="28"/>
          <w:szCs w:val="28"/>
          <w:shd w:val="clear" w:color="auto" w:fill="FFFFFF"/>
        </w:rPr>
        <w:t>3</w:t>
      </w:r>
    </w:p>
    <w:p w14:paraId="2C721AE4" w14:textId="77777777" w:rsidR="001E0E78" w:rsidRPr="004655AF" w:rsidRDefault="001E0E78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</w:p>
    <w:p w14:paraId="4F4D2AD3" w14:textId="77777777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 xml:space="preserve">«В текущей непростой ситуации наша главная задача – чтобы граждане не просто продолжали получать учетно-регистрационные услуги, но и получали их в удобном для себя формате. Мы так организовали работу, что большинство вопросов, связанных с оборотом недвижимости, граждане и вовсе могут </w:t>
      </w:r>
      <w:proofErr w:type="gramStart"/>
      <w:r w:rsidRPr="004655AF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>решить</w:t>
      </w:r>
      <w:proofErr w:type="gramEnd"/>
      <w:r w:rsidRPr="004655AF">
        <w:rPr>
          <w:rFonts w:ascii="TTNorms" w:eastAsia="Times New Roman" w:hAnsi="TTNorms" w:cs="Times New Roman"/>
          <w:i/>
          <w:iCs/>
          <w:color w:val="334059"/>
          <w:sz w:val="27"/>
          <w:szCs w:val="27"/>
          <w:lang w:eastAsia="ru-RU"/>
        </w:rPr>
        <w:t xml:space="preserve"> не выходя из дома. Дистанционное обращение экономит время заявителей и минимизирует контакты с посторонними людьми. Сегодня Кадастровая палата принимает все необходимые меры для исправного получения заявителями учетно-регистрационных услуг»</w:t>
      </w: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– заявил </w:t>
      </w:r>
      <w:r w:rsidRPr="004655AF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 xml:space="preserve">глава Федеральной кадастровой палаты Вячеслав </w:t>
      </w:r>
      <w:proofErr w:type="spellStart"/>
      <w:r w:rsidRPr="004655AF">
        <w:rPr>
          <w:rFonts w:ascii="TTNorms" w:eastAsia="Times New Roman" w:hAnsi="TTNorms" w:cs="Times New Roman"/>
          <w:b/>
          <w:bCs/>
          <w:color w:val="334059"/>
          <w:sz w:val="27"/>
          <w:szCs w:val="27"/>
          <w:lang w:eastAsia="ru-RU"/>
        </w:rPr>
        <w:t>Спиренков</w:t>
      </w:r>
      <w:proofErr w:type="spellEnd"/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.</w:t>
      </w:r>
    </w:p>
    <w:p w14:paraId="5E70C701" w14:textId="77777777" w:rsidR="004655AF" w:rsidRPr="004655AF" w:rsidRDefault="004655AF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14:paraId="278F4FDA" w14:textId="4B2C717B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Так, выписку из единого государственного реестра недвижимости (ЕГРН) можно получить в течение нескольких минут благодаря </w:t>
      </w:r>
      <w:hyperlink r:id="rId5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онлайн-сервису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Федеральной кадастровой палаты или через официальный </w:t>
      </w:r>
      <w:hyperlink r:id="rId6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сайт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 xml:space="preserve"> Росреестра, а общедоступные сведения об объектах </w:t>
      </w: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lastRenderedPageBreak/>
        <w:t>недвижимости можно посмотреть на обновленном </w:t>
      </w:r>
      <w:hyperlink r:id="rId7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сервисе</w:t>
        </w:r>
      </w:hyperlink>
      <w:r w:rsidR="006B6E9A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«Публичная кадастровая карта».</w:t>
      </w:r>
    </w:p>
    <w:p w14:paraId="3FF7138B" w14:textId="77777777" w:rsidR="004655AF" w:rsidRPr="004655AF" w:rsidRDefault="004655AF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14:paraId="04B5A1ED" w14:textId="77777777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Направить в Кадастровую палату обращение по вопросам, находящимся в компетенции учреждения, можно посредством электронной формы </w:t>
      </w:r>
      <w:hyperlink r:id="rId8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«Обращения онлайн»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размещенной на официальном сайте </w:t>
      </w:r>
      <w:hyperlink r:id="rId9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Федеральной кадастровой палаты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.</w:t>
      </w:r>
    </w:p>
    <w:p w14:paraId="4711C030" w14:textId="77777777" w:rsidR="004655AF" w:rsidRPr="004655AF" w:rsidRDefault="004655AF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14:paraId="0F06C908" w14:textId="77777777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Информацию, связанную с порядком подачи документов на государственный кадастровый учет и государственную регистрацию прав, </w:t>
      </w:r>
      <w:hyperlink r:id="rId10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составом пакета документов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, а также о готовности документов можно получить круглосуточно по телефону Ведомственного центра телефонного обслуживания (ВЦТО): 8 (800) 100-34-34.</w:t>
      </w:r>
    </w:p>
    <w:p w14:paraId="125AF859" w14:textId="77777777" w:rsidR="004655AF" w:rsidRPr="004655AF" w:rsidRDefault="004655AF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14:paraId="46F629E6" w14:textId="77777777" w:rsidR="004655AF" w:rsidRP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Также на официальном сайте Кадастровой палаты в </w:t>
      </w:r>
      <w:hyperlink r:id="rId11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разделе «Сервисы и услуги»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 </w:t>
      </w: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можно заказать </w:t>
      </w:r>
      <w:hyperlink r:id="rId12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электронную подпись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, </w:t>
      </w:r>
      <w:hyperlink r:id="rId13" w:tgtFrame="_blank" w:history="1">
        <w:r w:rsidRPr="004655AF">
          <w:rPr>
            <w:rFonts w:ascii="TTNorms" w:eastAsia="Times New Roman" w:hAnsi="TTNorms" w:cs="Times New Roman"/>
            <w:color w:val="0089DB"/>
            <w:sz w:val="27"/>
            <w:szCs w:val="27"/>
            <w:u w:val="single"/>
            <w:lang w:eastAsia="ru-RU"/>
          </w:rPr>
          <w:t>заказать консультацию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 и удаленно провести </w:t>
      </w:r>
      <w:hyperlink r:id="rId14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операции с недвижимостью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.</w:t>
      </w:r>
    </w:p>
    <w:p w14:paraId="6CB245E7" w14:textId="77777777" w:rsidR="004655AF" w:rsidRPr="004655AF" w:rsidRDefault="004655AF" w:rsidP="004655AF">
      <w:pPr>
        <w:spacing w:after="0" w:line="240" w:lineRule="auto"/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4"/>
          <w:szCs w:val="24"/>
          <w:lang w:eastAsia="ru-RU"/>
        </w:rPr>
        <w:t> </w:t>
      </w:r>
    </w:p>
    <w:p w14:paraId="0E309799" w14:textId="7D458F27" w:rsidR="004655AF" w:rsidRDefault="004655AF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</w:pPr>
      <w:r w:rsidRPr="004655AF"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  <w:t>Почтовые и электронные адреса, а также телефоны Кадастровой палаты можно посмотреть на официальном сайте Кадастровой палаты в разделе </w:t>
      </w:r>
      <w:hyperlink r:id="rId15" w:tgtFrame="_blank" w:history="1">
        <w:r w:rsidRPr="004655AF">
          <w:rPr>
            <w:rFonts w:ascii="TTNorms" w:eastAsia="Times New Roman" w:hAnsi="TTNorms" w:cs="Times New Roman"/>
            <w:color w:val="0000FF"/>
            <w:sz w:val="27"/>
            <w:szCs w:val="27"/>
            <w:u w:val="single"/>
            <w:lang w:eastAsia="ru-RU"/>
          </w:rPr>
          <w:t>«Обратная связь»</w:t>
        </w:r>
      </w:hyperlink>
      <w:r w:rsidRPr="004655AF">
        <w:rPr>
          <w:rFonts w:ascii="TTNorms" w:eastAsia="Times New Roman" w:hAnsi="TTNorms" w:cs="Times New Roman"/>
          <w:color w:val="334059"/>
          <w:sz w:val="27"/>
          <w:szCs w:val="27"/>
          <w:u w:val="single"/>
          <w:lang w:eastAsia="ru-RU"/>
        </w:rPr>
        <w:t>.</w:t>
      </w:r>
    </w:p>
    <w:p w14:paraId="7091BE2E" w14:textId="77777777" w:rsidR="001E0E78" w:rsidRPr="004655AF" w:rsidRDefault="001E0E78" w:rsidP="004655AF">
      <w:pPr>
        <w:spacing w:after="360" w:line="240" w:lineRule="auto"/>
        <w:rPr>
          <w:rFonts w:ascii="TTNorms" w:eastAsia="Times New Roman" w:hAnsi="TTNorms" w:cs="Times New Roman"/>
          <w:color w:val="334059"/>
          <w:sz w:val="27"/>
          <w:szCs w:val="27"/>
          <w:lang w:eastAsia="ru-RU"/>
        </w:rPr>
      </w:pPr>
    </w:p>
    <w:p w14:paraId="7934729D" w14:textId="77777777" w:rsidR="004655AF" w:rsidRDefault="004655AF"/>
    <w:sectPr w:rsidR="0046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Norms">
    <w:altName w:val="Cambria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F"/>
    <w:rsid w:val="001E0E78"/>
    <w:rsid w:val="004655AF"/>
    <w:rsid w:val="006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E96D"/>
  <w15:chartTrackingRefBased/>
  <w15:docId w15:val="{97FC5744-4894-4522-A77C-A6138A50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0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28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36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eedback/online/" TargetMode="External"/><Relationship Id="rId13" Type="http://schemas.openxmlformats.org/officeDocument/2006/relationships/hyperlink" Target="https://kadastr.ru/services/poluchit-konsultatsiy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hyperlink" Target="https://kadastr.ru/services/udostoveryayushchiy-tsent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s://kadastr.ru/services/" TargetMode="External"/><Relationship Id="rId5" Type="http://schemas.openxmlformats.org/officeDocument/2006/relationships/hyperlink" Target="https://spv.kadastr.ru/" TargetMode="External"/><Relationship Id="rId15" Type="http://schemas.openxmlformats.org/officeDocument/2006/relationships/hyperlink" Target="https://kadastr.ru/feedback/" TargetMode="External"/><Relationship Id="rId10" Type="http://schemas.openxmlformats.org/officeDocument/2006/relationships/hyperlink" Target="https://kadastr.ru/services/registratsiya-prosto/" TargetMode="External"/><Relationship Id="rId4" Type="http://schemas.openxmlformats.org/officeDocument/2006/relationships/hyperlink" Target="https://lk.rosreestr.ru/" TargetMode="Externa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kadastr.ru/services/oformit-nedvizh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2020-04-09T03:36:00Z</dcterms:created>
  <dcterms:modified xsi:type="dcterms:W3CDTF">2020-04-09T03:47:00Z</dcterms:modified>
</cp:coreProperties>
</file>