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BE" w:rsidRPr="009F12BE" w:rsidRDefault="009F12BE" w:rsidP="009F12B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F12BE">
        <w:rPr>
          <w:rFonts w:ascii="Times New Roman" w:hAnsi="Times New Roman" w:cs="Times New Roman"/>
          <w:color w:val="000000"/>
          <w:sz w:val="28"/>
          <w:szCs w:val="28"/>
        </w:rPr>
        <w:t>Внимание начинающие и потенциальные предприниматели!</w:t>
      </w:r>
    </w:p>
    <w:p w:rsidR="009F12BE" w:rsidRPr="009F12BE" w:rsidRDefault="009F12BE" w:rsidP="009F12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 Вам, что Законом Кемеровской области </w:t>
      </w:r>
      <w:r w:rsidRPr="009F12BE">
        <w:rPr>
          <w:rFonts w:ascii="Times New Roman" w:hAnsi="Times New Roman" w:cs="Times New Roman"/>
          <w:sz w:val="28"/>
          <w:szCs w:val="28"/>
        </w:rPr>
        <w:t xml:space="preserve">от 06.05.2015 </w:t>
      </w: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№32-ОЗ определены виды </w:t>
      </w:r>
      <w:r w:rsidRPr="009F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 по налогам, взимаемым в связи с применением упрощенной и патентной систем налогообложения.</w:t>
      </w:r>
      <w:r w:rsidRPr="009F12BE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gramEnd"/>
    </w:p>
    <w:p w:rsidR="009F12BE" w:rsidRPr="009F12BE" w:rsidRDefault="009F12BE" w:rsidP="009F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использования данной льготы имеется у впервые зарегистрировавшихся индивидуальных предпринимателей и распространяется </w:t>
      </w:r>
      <w:r w:rsidRPr="009F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два</w:t>
      </w: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налоговых периода (два календарных года).</w:t>
      </w:r>
      <w:r w:rsidRPr="009F1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использование «налоговых каникул» не освобождает предпринимателей от обязанности уплаты страховых взносов во внебюджетные фонды.</w:t>
      </w:r>
    </w:p>
    <w:p w:rsidR="009F12BE" w:rsidRPr="009F12BE" w:rsidRDefault="009F12BE" w:rsidP="009F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вышеуказанным Законом </w:t>
      </w:r>
      <w:r w:rsidRPr="009F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установлены ограничения на применение налогоплательщиками нулевой налоговой ставки, а именно:</w:t>
      </w:r>
    </w:p>
    <w:p w:rsidR="009F12BE" w:rsidRPr="009F12BE" w:rsidRDefault="009F12BE" w:rsidP="009F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численность работников не должна превышать за отчетный (налоговый) период 10 человек; </w:t>
      </w:r>
      <w:proofErr w:type="gramEnd"/>
    </w:p>
    <w:p w:rsidR="009F12BE" w:rsidRPr="009F12BE" w:rsidRDefault="009F12BE" w:rsidP="009F12B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предельный размер доходов от реализации, определяемых в соответствии со статьей 249 Налогового кодекса Российской Федерации и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процентов:</w:t>
      </w:r>
    </w:p>
    <w:p w:rsidR="009F12BE" w:rsidRPr="009F12BE" w:rsidRDefault="009F12BE" w:rsidP="009F12B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применяющих патентную систему налогообложения не должен превышать 6 млн. рублей</w:t>
      </w: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12BE" w:rsidRPr="009F12BE" w:rsidRDefault="009F12BE" w:rsidP="009F12B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12BE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применяющих упрощенную систему налогообложения не должен превышать уменьшенную в 10 раз величину предельного размера доходов для использования упрощенной системы налогообложения, установленный Налоговым кодексом (150 млн. руб.).</w:t>
      </w:r>
    </w:p>
    <w:p w:rsidR="0031432C" w:rsidRDefault="0031432C"/>
    <w:sectPr w:rsidR="0031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12BE"/>
    <w:rsid w:val="0031432C"/>
    <w:rsid w:val="009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AlexSoft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2017-05-05T02:32:00Z</dcterms:created>
  <dcterms:modified xsi:type="dcterms:W3CDTF">2017-05-05T02:33:00Z</dcterms:modified>
</cp:coreProperties>
</file>